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7A" w:rsidRPr="0062627A" w:rsidRDefault="0062627A" w:rsidP="0062627A">
      <w:pPr>
        <w:spacing w:before="115" w:after="115" w:line="240" w:lineRule="auto"/>
        <w:ind w:left="518" w:right="403"/>
        <w:rPr>
          <w:rFonts w:ascii="Tahoma" w:eastAsia="Times New Roman" w:hAnsi="Tahoma" w:cs="Tahoma"/>
          <w:sz w:val="19"/>
          <w:szCs w:val="19"/>
          <w:lang w:eastAsia="hu-HU"/>
        </w:rPr>
      </w:pPr>
      <w:r w:rsidRPr="0062627A">
        <w:rPr>
          <w:rFonts w:ascii="Tahoma" w:eastAsia="Times New Roman" w:hAnsi="Tahoma" w:cs="Tahoma"/>
          <w:b/>
          <w:bCs/>
          <w:sz w:val="19"/>
          <w:szCs w:val="19"/>
          <w:lang w:eastAsia="hu-HU"/>
        </w:rPr>
        <w:t xml:space="preserve">Dohányzásmentes környezet Az Európai Parlament 2009. november 26-i állásfoglalása a </w:t>
      </w:r>
      <w:proofErr w:type="spellStart"/>
      <w:r w:rsidRPr="0062627A">
        <w:rPr>
          <w:rFonts w:ascii="Tahoma" w:eastAsia="Times New Roman" w:hAnsi="Tahoma" w:cs="Tahoma"/>
          <w:b/>
          <w:bCs/>
          <w:sz w:val="19"/>
          <w:szCs w:val="19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b/>
          <w:bCs/>
          <w:sz w:val="19"/>
          <w:szCs w:val="19"/>
          <w:lang w:eastAsia="hu-HU"/>
        </w:rPr>
        <w:t xml:space="preserve"> környezetről </w:t>
      </w:r>
      <w:r w:rsidRPr="0062627A">
        <w:rPr>
          <w:rFonts w:ascii="Tahoma" w:eastAsia="Times New Roman" w:hAnsi="Tahoma" w:cs="Tahoma"/>
          <w:sz w:val="19"/>
          <w:szCs w:val="19"/>
          <w:lang w:eastAsia="hu-HU"/>
        </w:rPr>
        <w:br/>
      </w:r>
      <w:r w:rsidRPr="0062627A">
        <w:rPr>
          <w:rFonts w:ascii="Tahoma" w:eastAsia="Times New Roman" w:hAnsi="Tahoma" w:cs="Tahoma"/>
          <w:i/>
          <w:iCs/>
          <w:sz w:val="19"/>
          <w:szCs w:val="19"/>
          <w:lang w:eastAsia="hu-HU"/>
        </w:rPr>
        <w:br/>
        <w:t xml:space="preserve">Hivatalos Lap C 285 </w:t>
      </w:r>
      <w:proofErr w:type="gramStart"/>
      <w:r w:rsidRPr="0062627A">
        <w:rPr>
          <w:rFonts w:ascii="Tahoma" w:eastAsia="Times New Roman" w:hAnsi="Tahoma" w:cs="Tahoma"/>
          <w:i/>
          <w:iCs/>
          <w:sz w:val="19"/>
          <w:szCs w:val="19"/>
          <w:lang w:eastAsia="hu-HU"/>
        </w:rPr>
        <w:t>E ,</w:t>
      </w:r>
      <w:proofErr w:type="gramEnd"/>
      <w:r w:rsidRPr="0062627A">
        <w:rPr>
          <w:rFonts w:ascii="Tahoma" w:eastAsia="Times New Roman" w:hAnsi="Tahoma" w:cs="Tahoma"/>
          <w:i/>
          <w:iCs/>
          <w:sz w:val="19"/>
          <w:szCs w:val="19"/>
          <w:lang w:eastAsia="hu-HU"/>
        </w:rPr>
        <w:t xml:space="preserve"> 21/10/2010 o. 0063 - 0067</w:t>
      </w:r>
    </w:p>
    <w:p w:rsidR="0062627A" w:rsidRPr="0062627A" w:rsidRDefault="0062627A" w:rsidP="006262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Dohányzásmentes környezet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P7_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TA(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2009)0100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Az Európai Parlament 2009. november 26-i állásfoglalása 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környezetről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2010/C 285 E/09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Az Európai Parlament,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az Európai Közösséget létrehozó szerződésre és különösen annak 152. cikke (4) bekezdésének második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albekezdésére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Bizottság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környezetről szóló 2009. június 30-i tanácsi ajánlásra irányuló javaslatára (COM(2009)0328),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Bizottságnak "A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Európáért: Az Európai Unió politikai lehetőségei" című 2007. január 30-i zöld könyvére (COM(2007)0027),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2007. október 24-i állásfoglalására "A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Európáért: Az Európai Unió politikai lehetőségei" című zöld könyvről [1],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"Az európai környezeti és egészségügyi cselekvési program 2004-2010" című 2005. február 23-i [2] és a 2004–2010 közötti időszakra vonatkozó európai környezetvédelmi és egészségügyi cselekvési terv félidős felülvizsgálatáról szóló 2008. szeptember 4-i [3] állásfoglalásaira,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az Egészségügyi Világszervezet (WHO) dohányzás ellenőrzéséről szóló 2003-as keretegyezményére (FCTC), különösen annak (a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dohányfüstkitettséggel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szembeni védelemről szóló) 8. cikkére és (a kereslet csökkentését szolgáló, a dohányfüggőséggel és a dohányzás elhagyásával kapcsolatos intézkedésekről szóló) 14. cikkére,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WHO-nak a dohányzásról való leszoktatásra vonatkozó politikájára irányuló 2004-es európai stratégiájára,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WHO-nak a másodlagos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dohányfüstkitettséggel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szembeni védelemről szóló 2007-es politikai ajánlásaira,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gyermekek jogairól szóló ENSZ-egyezményre,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Tanács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környezetről szóló nyilatkozatára,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tekintettel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eljárási szabályzata 115. cikkének (5) bekezdésére és 110. cikke (2) bekezdésére,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A.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dohányzás a legnagyobb mértékben felelős az elkerülhető halálesetekért, amelyek száma az EU-ban eléri az évi félmilliót [4];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B. mivel a becslések szerint a dohányzás felelős a rák okozta halálozások 25 %-áért, illetve az EU-ban bekövetkező halálozások 15 %-áért [5]; mivel óvatos becslések szerint 2002-ben az Európai Unióban 7300 felnőtt – köztük 2800 nem dohányzó – halt meg a környezeti dohányfüstnek való munkahelyi kitettség következtében; és további 72000 felnőtt, köztük 16400 nem dohányzó halála vezethető vissza a környezeti dohányfüstnek való otthoni kitettségre [6];</w:t>
      </w:r>
      <w:proofErr w:type="gramEnd"/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C. mivel az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Eurobarometer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2009. márciusi felmérése szerint az EU lakosságának 70 %-a nem dohányzik, és a polgárok nagy többsége a dohányzás összes nyilvános helyen (munkahelyeken, éttermekben, bárokban) történő betiltása mellett van;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D. mivel, annak ellenére, hogy a gyerekek nyilvánvalóan veszélyeztetettebbek a környezeti dohányfüstnek való kitettséggel szemben, a gyerek környezeti dohányfüstnek való hosszú távú rendszeres kitettségére vonatkozó adatok vagy nem elegendőek, vagy nem állnak rendelkezésre, és egy, a megfelelő adatokat tartalmazó tanulmány elkészítése hatékonyabb lenne európai szinten, mint a 27 tagállam által készített 27 különböző tanulmány;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lastRenderedPageBreak/>
        <w:t xml:space="preserve">E.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környezeti dohányfüstnek (melyet másodlagos dohányfüstként is szoktak említeni) való kitettség szintén jelentősen hozzájárul az EU-ban előforduló halálozásokhoz, morbiditáshoz és fogyatékosságokhoz;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F.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dohányfüst egy több mint 4000 gáznemű és szemcsés összetevőből álló toxikus keverék, amely 69 féle ismert karcinogént és mérgező anyagot tartalmaz;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G.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környezeti dohányfüst a WHO nemzetközi rákkutató ügynöksége szerint rákkeltő;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H.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másodlagos dohányfüstnek való kitettségnek nincs biztonságos szintje, mivel mindenkinek joga van egészsége magas szintű védelméhez, és mindenkit meg kellene védeni a másodlagos dohányfüstnek való kitettséggel szemben, mivel a gyerekek különösen veszélyeztetettek 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dohányfüstszennyezéssel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szemben;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I. mivel a dohányosok több napot vannak távol rövidebb vagy hosszabb betegség miatt munkahelyüktől, mint a volt dohányosok vagy nem dohányzók, és ezzel az egyénekre, munkáltatókra, vállalkozásokra és a gazdaság egészére terhelik a dohányzás okozta többletköltségeket;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J.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gyerekek maguk nem tudnak beleegyezni a környezeti dohányfüstnek való kitettségükbe zárt helyeken, viszont joguk van a védelemhez és ahhoz, hogy egészségük ne forogjon veszélyben;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K.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terhesség ideje alatti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dohányfüstterhelés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rendellenes fejlődés, a vetélés, a halvaszülés és a koraszülés megnövekedett kockázatához, a magzat csökkent hosszanti növekedéséhez, kisebb fejkerülethez és kisebb születési súlyhoz vezethet, és mivel a passzív dohányzás összefügg a középfülgyulladásokkal, a csökkent tüdőfunkcióval, az asztmával és a hirtelen csecsemőhalállal;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L. mivel a bizonyítékok azt mutatják, hogy 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politikák a munkakörülmények általános javulását és a dohányzással összefüggő (így pl. az akut szívkoszorúér-megbetegedések, légzőszervi betegségek és szívizomfertőzések miatt bekövetkező) halálesetek számának csökkenését eredményezték;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M. mivel az egészségügyi rendszerek dohányfogyasztás okozta költségeit a teljes lakosság, és nem az okozók viselik;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N.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az EU és 27 tagállama közül 26 már aláírta és ratifikálta az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FCTC-t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, amely emlékeztet arra is, hogy a WHO alapokmányának preambuluma kimondja, hogy az elérhető legjobb egészségi állapot minden ember alapvető joga;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O. mivel az FCTC 8. cikke arra kötelezi a részes feleket, hogy a nemzeti jog által meghatározott módon a hatályos nemzeti joghatóság területein fogadjanak el, és a többi joghatósági szinten pedig támogassák az emberek másodlagos dohányfüstnek való kitettséggel szembeni védelmét célzó hatékony intézkedéseket minden beltéri munkahely, tömegközlekedési eszköz, beltéri, illetve adott esetben kültéri nyilvános hely vonatkozásában;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P. mivel az Európai Parlament felszólította a tagállamokat, hogy 2009 októberéig vezessenek be teljes körű dohányzási tilalmat minden zárt munkahelyen, beleértve a vendéglátó létesítményeket, és minden zárt középületben és közlekedési eszközön az EU-ban;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Q.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mivel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az egyes tagállamok nemzeti jogszabályai között nagyok a különbségek,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1. sajnálja, hogy az Elnökség a Parlament véleményének kikérése nélkül fogadta el a Tanács ajánlását;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2. sajnálja, hogy 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környezetre vonatkozó átfogó szabályozás hiánya a tagállamok többségében (különösen a vendéglátó-ipari és a szabadidős ágazatban) egyenlőtlen helyzetet eredményez a különböző foglalkozási és társadalmi-gazdasági csoportok között, miután a vendéglátóiparban dolgozók háromszor akkora valószínűséggel vannak napi öt órát meghaladó időtartamon keresztül kitéve dohányfüstnek, mint az irodai dolgozók;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3. rámutat arra, hogy a Parlament következetesen szorgalmazta a dohányfüggőség leküzdését és a fiatalok másodlagos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dohányfüstkitettségének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csökkentését szolgáló határozottabb intézkedéseket;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lastRenderedPageBreak/>
        <w:t>4. hangsúlyozza a másodlagos dohányfüst súlyosan káros hatásait, azokat a különleges hatásokat, amelyeket a káros anyagoknak való kitettség okozhat a gyermekkor sérülékeny időszakában, továbbá hogy a gyermekek nem rendelkeznek jogi képességgel arra, hogy hozzájárulásukat adják a dohányfüstös környezetnek való rendszeres, hosszú távú kitettséghez;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5. hangsúlyozza, hogy az eltérő nemzeti jogszabályok miatt a másodlagos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dohányfüstkitettség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elleni védelem tekintetében óriási különbségek vannak a tagállamok között;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6. alapvető fontosságúnak tartja, hogy a dohányzási tilalomról szóló hatályos tagállami jogszabályok a jogbiztonság garantálása mellett tiszteletben tartsák a különböző típusú vendéglátó-ipari létesítmények közötti egyenlőség elvét;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7. üdvözli, hogy az EU aktívan dolgozik egy átfogó dohányzásellenes politika kialakításán, amelyet jogalkotási intézkedések, a dohányzás megelőzésére irányuló és a leszokást segítő, egész Európára kiterjedő tevékenységek, a dohányzás elleni fellépés beépítése egy sor más közösségi politikába, valamint a dohányzás elleni fellépés terén az EU globális szinten is jelentős szereplővé tétele jellemez;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8. üdvözli az Európai Uniónak a dohányfogyasztás elleni fellépésre irányuló szándékát és politikáinak újonnan tapasztalható következetességét;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9. hangsúlyozza, hogy a Szerződés 137. és 152. cikkén alapuló, kötelező erejű jogszabály révén lehetőség nyílhatna a környezeti dohányfüst mennyiségének és a kapcsolódó egészségügyi és gazdasági terhek csökkentésére, elismeri azonban, hogy ezek a cikkek, különösen a 137. cikk, nem érinti a gyermekeket érintő sajátos problémákat;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10. hangsúlyozza, hogy csak a minden zárt munkahelyre – így a vendéglátó-ipari létesítményekre, az összes középületre és közlekedési eszközre – vonatkozó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átfogó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dohányzási tilalom tudja védeni a munkavállalók és a nem dohányzók egészségét, és ezáltal jelentősen megkönnyítik a dohányzók számára a dohányzás abbahagyását;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11. üdvözli azon tagállamok eljárását, amelyek már hoztak hatékony intézkedéseket a másodlagos dohányfüst elleni védelem érdekében; felszólítja a tagállamokat, hogy folytassák a nemdohányzók védelmére vonatkozó szabályok bevezetését a dolgozók egészségvédelme terén, és erősítsék meg a nemdohányzók védelmére irányuló folyamatos erőfeszítéseket;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12. felszólítja a Bizottságot, hogy készítsen jelentést azon költségekről, amelyek a nemzeti egészségügyi rendszerek és az EU gazdasága számára a dohányzás és 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dohányfüstterhelés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következményei révén jelentkeznek;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13. javasolja, hogy a Tanács az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FCTC-ben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részes felek 2009-es konferenciáján az FCTC 5.3. cikkéhez elfogadott iránymutatásoknak megfelelően ajánlja a tagállamoknak folyamatos párbeszéd és konzultáció kialakítását az összes érintett érdekelt féllel annak biztosítása érdekében, hogy minden szereplő támogassa a dohányzás elleni nemzeti stratégiák és programok végrehajtását;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14. ismételten felszólítja a Bizottságot, hogy nyújtson be javaslatot a dohánytermékekről szóló 2001/37/EK irányelv [7] módosítására, amely legalább az Európai Parlament fent említett 2007. október 24-i állásfoglalásában foglalt módosításokat tartalmazza;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15. felszólítja a Bizottságot, hogy készítsen átfogó tanulmányt a gyermekek másodlagos és harmadlagos dohányfüstnek való hosszú távú, rendszeres kitettségének hatásairól valamennyi tevékenységi területükön;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16. felhívja a Bizottságot és a tagállamokat, hogy a javasolt tanácsi ajánlást és a tagállamok legjobb gyakorlatait egyaránt felhasználva vegyenek részt az FCTC részes feleinek legközelebbi konferenciáján elfogadandó, az FCTC 14. 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cikke(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a kereslet csökkentését szolgáló, a dohányfüggőséggel és a dohányzás elhagyásával kapcsolatos intézkedések) végrehajtására vonatkozó iránymutatások megfogalmazásában;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17. bátorítja a Bizottságot, hogy folytassa az uniós szintű támogató intézkedések – például a tudatosság növelésére irányuló intézkedések, ezen belül a dohánytermékek csomagolásán feltüntetett, a dohányzás elleni nemzeti kommunikációs kampányokba integrált tájékoztatás – végrehajtását;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lastRenderedPageBreak/>
        <w:t>18. elengedhetetlennek tartja, hogy a "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dohányfüstmentes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Európa" érdekében hozott intézkedésekhez hasonlóan a Bizottság a tagállamokkal szoros együttműködésben szerelkezzen fel új eszközökkel a dohánytermékek csempészetének és hamisításának különböző típusai elleni harcra – különösen az interneten –, tekintettel azokra az azonnali és fokozott veszélyekre, amelyeket ezek a fogyasztói egészségre jelentenek;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19. a teljes körű és pontos nyomon követés és végrehajtás szükségességére emlékeztetve felhívja azokat a tagállamokat, amelyek már ratifikálták az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FCTC-t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, hogy hajtsák végre az abban javasolt ajánlásokat az FCTC 8. cikke szerinti kötelezettségük értelmében, továbbá tegyenek kétévente jelentést a Bizottságnak a végrehajtás előrehaladásáról;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20. ismételten felszólítja az Elnökséget, hogy mivel példát kell mutatnia, azonnali hatállyal vezessen be kivétel nélkül a Parlament összes helyiségére érvényes dohányzási tilalmat; felszólít e tilalom szigorú betartatására;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21. utasítja elnökét, hogy továbbítsa ezt az állásfoglalást a Tanácsnak, a Bizottságnak és az WHO-nak.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[1] HL C 263 E, 2008.10.16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.,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447.o.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[2] HL C 304 E, 2005.12.1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.,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264. o.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[3]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Elogadott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szövegek, P6_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TA(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2008)0410.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[4] http://ec.europa.eu/health/ph_determinants/life_style/Tobacco/tobacco_en.htm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[5] http://ec.europa.eu/health/ph_determinants/life_style/Tobacco/tobacco_en.htm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[6] The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Smoke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Free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Partnership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(2006). Lifting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the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smokescreen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: 10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reasons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for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a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smoke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free Europe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Brussels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, Belgium: European </w:t>
      </w:r>
      <w:proofErr w:type="spell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Respiratory</w:t>
      </w:r>
      <w:proofErr w:type="spell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Society.</w:t>
      </w:r>
    </w:p>
    <w:p w:rsidR="0062627A" w:rsidRPr="0062627A" w:rsidRDefault="0062627A" w:rsidP="0062627A">
      <w:pPr>
        <w:spacing w:before="58" w:after="58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[7] Az Európai Parlament és a Tanács 2001. június 5-i 2001/37/EK irányelve a tagállamoknak a dohánytermékek gyártására, kiszerelésére és árusítására vonatkozó törvényi, rendeleti és közigazgatási rendelkezései közelítéséről (HL L 194., 2001.7.18</w:t>
      </w:r>
      <w:proofErr w:type="gramStart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>.,</w:t>
      </w:r>
      <w:proofErr w:type="gramEnd"/>
      <w:r w:rsidRPr="0062627A">
        <w:rPr>
          <w:rFonts w:ascii="Tahoma" w:eastAsia="Times New Roman" w:hAnsi="Tahoma" w:cs="Tahoma"/>
          <w:sz w:val="20"/>
          <w:szCs w:val="20"/>
          <w:lang w:eastAsia="hu-HU"/>
        </w:rPr>
        <w:t xml:space="preserve"> 26. o.).</w:t>
      </w:r>
    </w:p>
    <w:p w:rsidR="0062627A" w:rsidRPr="0062627A" w:rsidRDefault="0062627A" w:rsidP="0062627A">
      <w:pPr>
        <w:spacing w:before="58" w:after="115" w:line="240" w:lineRule="auto"/>
        <w:ind w:left="519" w:right="519"/>
        <w:rPr>
          <w:rFonts w:ascii="Tahoma" w:eastAsia="Times New Roman" w:hAnsi="Tahoma" w:cs="Tahoma"/>
          <w:sz w:val="20"/>
          <w:szCs w:val="20"/>
          <w:lang w:eastAsia="hu-HU"/>
        </w:rPr>
      </w:pPr>
      <w:r w:rsidRPr="0062627A">
        <w:rPr>
          <w:rFonts w:ascii="Tahoma" w:eastAsia="Times New Roman" w:hAnsi="Tahoma" w:cs="Tahoma"/>
          <w:sz w:val="20"/>
          <w:szCs w:val="20"/>
          <w:lang w:eastAsia="hu-HU"/>
        </w:rPr>
        <w:t>--------------------------------------------------</w:t>
      </w:r>
    </w:p>
    <w:p w:rsidR="006D34C4" w:rsidRDefault="002D7234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627A"/>
    <w:rsid w:val="002D7234"/>
    <w:rsid w:val="0062627A"/>
    <w:rsid w:val="006A3426"/>
    <w:rsid w:val="00732BA6"/>
    <w:rsid w:val="007924EA"/>
    <w:rsid w:val="00920618"/>
    <w:rsid w:val="00C54A9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62627A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2627A"/>
    <w:pPr>
      <w:spacing w:before="115" w:after="115" w:line="240" w:lineRule="auto"/>
      <w:ind w:left="518" w:right="403"/>
    </w:pPr>
    <w:rPr>
      <w:rFonts w:ascii="Times New Roman" w:eastAsia="Times New Roman" w:hAnsi="Times New Roman" w:cs="Times New Roman"/>
      <w:sz w:val="19"/>
      <w:szCs w:val="19"/>
      <w:lang w:eastAsia="hu-HU"/>
    </w:rPr>
  </w:style>
  <w:style w:type="character" w:styleId="Kiemels2">
    <w:name w:val="Strong"/>
    <w:basedOn w:val="Bekezdsalapbettpusa"/>
    <w:uiPriority w:val="22"/>
    <w:qFormat/>
    <w:rsid w:val="00626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108">
          <w:marLeft w:val="346"/>
          <w:marRight w:val="346"/>
          <w:marTop w:val="0"/>
          <w:marBottom w:val="11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11178</Characters>
  <Application>Microsoft Office Word</Application>
  <DocSecurity>0</DocSecurity>
  <Lines>93</Lines>
  <Paragraphs>25</Paragraphs>
  <ScaleCrop>false</ScaleCrop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2</cp:revision>
  <dcterms:created xsi:type="dcterms:W3CDTF">2010-12-29T15:56:00Z</dcterms:created>
  <dcterms:modified xsi:type="dcterms:W3CDTF">2010-12-29T15:56:00Z</dcterms:modified>
</cp:coreProperties>
</file>